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 xml:space="preserve">Прокуратура </w:t>
      </w:r>
      <w:bookmarkStart w:id="0" w:name="_GoBack"/>
      <w:bookmarkEnd w:id="0"/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Майкопского района разъясняет об изменении уголовной ответственности за незаконную регистрацию физического лица в качестве индивидуального предпринимателя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6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37000000">
      <w:pPr>
        <w:widowControl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Федеральным законом от 24.06.2025 № 172-ФЗ «О внесении изменений в статьи 173.1 и 173.2 Уголовного кодекса Российской Федерации» изменена уголовная ответственность за незаконную регистрацию физического лица в качестве индивидуального предпринимателя. </w:t>
      </w:r>
    </w:p>
    <w:p w14:paraId="38000000">
      <w:pPr>
        <w:widowControl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В статью 173.1 УК РФ внесены изменения, согласно которым государственная регистрация индивидуального предпринимателя через подставных лиц будет наказываться штрафом в размере от 100 тысяч до 300 тысяч рублей или в размере заработной платы или иного дохода осужденного за период от семи месяцев до одного года, либо принудительными работами на срок до трех лет, либо лишением свободы на тот же срок. </w:t>
      </w:r>
    </w:p>
    <w:p w14:paraId="39000000">
      <w:pPr>
        <w:widowControl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Также введена уголовная ответственность за незаконное использование документов для указанной цели. </w:t>
      </w:r>
    </w:p>
    <w:p w14:paraId="3A000000">
      <w:pPr>
        <w:widowControl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Кроме этого, примечание к статье 173.1 УК РФ дополнено положением, в соответствии с которым лицо, впервые совершившее преступление, являясь подставным лицом, освобождается от уголовной ответственности, если оно активно способствовало раскрытию или расследованию этого преступления. </w:t>
      </w:r>
    </w:p>
    <w:p w14:paraId="3B000000">
      <w:pPr>
        <w:widowControl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Изменения вступили в силу с 05.07.2025.</w:t>
      </w:r>
    </w:p>
    <w:p w14:paraId="3C000000">
      <w:pPr>
        <w:ind w:left="0" w:firstLine="850"/>
        <w:jc w:val="both"/>
        <w:rPr>
          <w:rFonts w:ascii="Times New Roman" w:hAnsi="Times New Roman"/>
          <w:color w:val="000000"/>
          <w:sz w:val="28"/>
        </w:rPr>
      </w:pPr>
    </w:p>
    <w:p w14:paraId="3D000000">
      <w:pPr>
        <w:ind w:left="0" w:firstLine="850"/>
        <w:jc w:val="both"/>
        <w:rPr>
          <w:rFonts w:ascii="Times New Roman" w:hAnsi="Times New Roman"/>
          <w:color w:val="000000"/>
          <w:sz w:val="28"/>
        </w:rPr>
      </w:pPr>
    </w:p>
    <w:p w14:paraId="3E000000">
      <w:pPr>
        <w:ind w:lef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Прокуратура Майкопского района разъясняет порядок обращения с отходами, образовавшимися при уходе за древесно-кустарниковыми посадками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F000000">
      <w:pPr>
        <w:ind w:left="0" w:firstLine="850"/>
        <w:jc w:val="both"/>
        <w:rPr>
          <w:rFonts w:ascii="Times New Roman" w:hAnsi="Times New Roman"/>
          <w:color w:val="000000"/>
          <w:sz w:val="28"/>
        </w:rPr>
      </w:pPr>
    </w:p>
    <w:p w14:paraId="40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Уход за древесно-кустарниковыми посадками (обрезка, прореживание, подкормка и т.д.) неизбежно сопровождается образованием отходов растительного происхождения – веток, листьев, древесной стружки и прочих растительных остатков. </w:t>
      </w:r>
    </w:p>
    <w:p w14:paraId="41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Проблема утилизации растительных отходов традиционно обостряется в весенне-осенний и летний периоды, когда объемы их образования значительно возрастают. </w:t>
      </w:r>
    </w:p>
    <w:p w14:paraId="42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Правилами обращения с твердыми коммунальными отходами, утвержденными постановлением Правительства Российской Федерации от 07.03.2025 № 293 и вступившими в силу с 01.09.2025, прямо предусмотрен запрет складирования указанного вида отходов в местах накопления твердых коммунальных отходов (контейнеры, бункеры и возле контейнерных площадок). Это нововведение направлено на снижение перенакопления на контейнерных площадках и снижения рисков их возможного возгорания. </w:t>
      </w:r>
    </w:p>
    <w:p w14:paraId="43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Также в соответствии с положениями Закона № 89-ФЗ от 24.06.1998 «Об отходах производства и потребления» на контейнерных площадках запрещено складировать промышленные и строительные отходы.</w:t>
      </w:r>
    </w:p>
    <w:p w14:paraId="44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В целях вывоза и дальнейшей утилизации таких отходов потребителю необходимо заключить соответствующий договор с лицом (организацией), обладающим необходимой разрешительной документацией.</w:t>
      </w:r>
    </w:p>
    <w:p w14:paraId="45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За нарушение установленного запрета установлена административная ответственность. В соответствии со ст. 6.35 Кодекса Российской Федерации об административных правонарушениях для граждан предусмотрено наказание в виде штрафа до 3 тысяч рублей, для юридических лиц – до 350 тысяч рублей или приостановление деятельности на срок до 90 суток.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6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47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48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Прокуратура Майкопского района разъясняет об уголовной ответственности за осквернение воинских захоронений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9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4A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Федеральным законом от 23.07.2025 № 247-ФЗ «О внесении изменений в статью 243.4 УК РФ» с 3 августа 2025 года введена уголовная ответственность за осквернение воинских захоронений, а также памятников, стел, обелисков, других мемориальных сооружений или объектов, увековечивающих память погибших при защите Отечества или его интересов либо посвященных дням воинской славы России. </w:t>
      </w:r>
    </w:p>
    <w:p w14:paraId="4B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Теперь уголовная ответственность по ст. 243.4 Уголовного кодекса Российской Федерации будет наступать не только за уничтожение или повреждение указанных объектов, но и за их осквернение, под которым понимается приведение внешнего вида здания или иного сооружения в оскорбительное, непристойное с точки зрения общественной нравственности состояние (нанесение непристойных рисунков, надписей циничного содержания, нецензурных слов, загрязнении зданий и сооружений красящими веществами, нечистотами и т.п.). </w:t>
      </w:r>
    </w:p>
    <w:p w14:paraId="4C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Санкция статьи предусматривает наказание в виде штрафа в размере до трех миллионов рублей, принудительных работ на срок до трех лет либо лишения свободы на тот же срок. </w:t>
      </w:r>
    </w:p>
    <w:p w14:paraId="4D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В случае совершения преступления при наличии квалифицирующих признаков (преступление было совершено группой лиц, с применением насилия, либо же уничтожены повреждены или осквернены воинские захоронения, памятники, относящиеся к событиям Великой Отечественной войны) законодатель ввел повышенные санкции - штраф в размере от двух до пяти миллионов рублей, обязательные работы на срок до четырехсот восьмидесяти часов, принудительные работы на срок до пяти лет, либо лишение свободы на тот же срок. </w:t>
      </w:r>
    </w:p>
    <w:p w14:paraId="4E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Правила касаются не только объектов, расположенных на территории Российской Федерации, но и находящихся за ее пределами.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F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50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51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Прокуратура Майкопского района разъясняет об уголовной ответственности за преступления, связанные с незаконной миграцией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2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53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В рамках совершенствования законодательства в сфере миграционной политики с учетом фактов совершения нелегальными мигрантами значительного числа преступлений, в том числе имеющих повышенный общественный резонанс, в течение последних лет последовательно проводится политика, направленная на пресечение незаконной миграции, в том числе и путем усиления наказания за преступления, связанные с действиями по ее организации либо способствованию легализации мигрантов на территории Российской Федерации. </w:t>
      </w:r>
    </w:p>
    <w:p w14:paraId="54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Федеральным законом от 09.11.2024 № 383-ФЗ в нормы закона, устанавливающие уголовную ответственность за такие преступные действия, внесены изменения, существенно усиливающие наказание за них. </w:t>
      </w:r>
    </w:p>
    <w:p w14:paraId="55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Так, за действия по организации незаконной миграции (незаконного въезда, пребывания в Российской Федерации либо транзитного проезда через территорию Российской Федерации) иностранных граждан либо лиц без гражданства установлен минимальный предел наказания в виде лишения свободы на срок от двух лет (ранее действовавшей редакцией закона минимальный предел наказания составлял два месяца). </w:t>
      </w:r>
    </w:p>
    <w:p w14:paraId="56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Кроме того, предусмотрена возможность назначения дополнительного наказания в виде штрафа в размере до 500 000 рублей либо в размере заработной платы или иного дохода осужденного за период до трех лет, и лишения права занимать определенные должности или заниматься определенной деятельностью на срок до пяти лет. </w:t>
      </w:r>
    </w:p>
    <w:p w14:paraId="57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В часть вторую статьи 322.1 Уголовного кодекса Российской Федерации введены новые квалифицирующие признаки, предусмотренные пунктами «г» - «с использованием поддельных документов, а равно с изъятием, сокрытием либо уничтожением документов, удостоверяющих личность», и «д» - «с использованием информационно-телекоммуникационных сетей, в том числе сети «Интернет». </w:t>
      </w:r>
    </w:p>
    <w:p w14:paraId="58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Кроме того, ранее предусмотренный квалифицирующий признак «в целях совершения преступления на территории Российской Федерации» дополнен ответственностью за новые действия, совершенные с целью скрыть другое преступление или облегчить его совершение. </w:t>
      </w:r>
    </w:p>
    <w:p w14:paraId="59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Наказание за совершение таких преступлений также существенно усилено и составляет лишение свободы на срок от 5 до 10 лет с дополнительными наказаниями в виде штрафа в размере от 3 000 000 до 5 000 000 рублей или в размере заработной платы или иного дохода осужденного за период от трех до пяти лет либо без такового, и лишения права занимать определенные должности или заниматься определенной деятельностью на срок до десяти лет или без такового. Ранее максимальный размер наказания в виде лишения свободы за такие деяния предусматривался в размере 7 лет, штрафа – в размере 500 000 рублей или суммы дохода осужденного за период до трех лет. </w:t>
      </w:r>
    </w:p>
    <w:p w14:paraId="5A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Данная норма закона также дополнена частью третьей, устанавливающей ответственность за деяния, совершенные организованной группой или в целях совершения тяжких или особо тяжких преступлений на территории Российской Федерации. Наказание по данной норме закона предусмотрено в виде лишения свободы на срок от 8 до 15 лет со штрафом в размере от 3 000 000 до 5 000 000 рублей или в размере заработной платы или иного дохода осужденного за период от трех до пяти лет либо без такового и с лишением права занимать определенные должности или заниматься определенной деятельностью на срок до десяти лет или без такового. </w:t>
      </w:r>
    </w:p>
    <w:p w14:paraId="5B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Кроме того, усилена уголовная ответственность за фиктивную регистрацию по месту жительства или по месту пребывания гражданина Российской Федерации или лица без гражданства. Максимальное наказание в виде лишения свободы за преступления, предусмотренные статьями 322.2 и 322.3 УК РФ, усилено с трех до пяти лет, в связи с чем, изменена категория тяжести и в настоящее время указанные деяния отнесены к преступлениям средней тяжести (ранее они признавались деяниями небольшой тяжести). </w:t>
      </w:r>
    </w:p>
    <w:p w14:paraId="5C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Данные изменения также существенно усиливают ответственность, поскольку изменение категории преступления не только значительно увеличивает срок давности привлечения к уголовной ответственности за такие действия (с двух до шести лет), но и позволяет назначить за данное преступление, в том числе совершенное впервые и при отсутствии отягчающих обстоятельств, наказание в виде лишения свободы, в том числе и реальное. </w:t>
      </w:r>
    </w:p>
    <w:p w14:paraId="5D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Также совершение преступления лицом, незаконно находящимся на территории Российской Федерации, в силу внесенных в статью 63 УК РФ изменений, признается отягчающим наказание обстоятельством.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E000000">
      <w:pPr>
        <w:widowControl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5F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Прокуратура Майкопского района разъясняет: «Преступления в сфере информационно-телекоммуникационных технологий»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0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61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 xml:space="preserve">Ускоренное внедрение цифровых технологий в жизни общества помимо положительных аспектов, имеет и негативную (криминогенную) сторону. </w:t>
      </w:r>
    </w:p>
    <w:p w14:paraId="62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Информационно-телекоммуникационные технологии (далее- ИТТ) преимущественно используются при совершении преступлений против собственности, а также в сфере незаконного оборота наркотических средств и психотропных веществ. Уязвимость внедряемых в финансово-кредитную сферу инновационных технологий и их активное применение на практике эксплуатируют мошенники, совершая посягательства на имущество граждан и организаций на принципиально новой высокотехнологичной основе.</w:t>
      </w:r>
    </w:p>
    <w:p w14:paraId="63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Государство на законодательном уровне реагирует на сложившуюся обстановку. Так, федеральным законом от 23 апреля 2018 г. № 111-ФЗ «О внесении изменений в Уголовный кодекс Российской Федерации» усилено наказание за хищение денежных средств с банковского счета или электронных денежных средств до 6 лет лишения свободы. При этом уголовная ответственность наступает не только за совершение хищений с использованием банковских карт (их реквизитов и контрольной информации), но и иных электронных средств платежа («электронные кошельки», другие платежные сервисы).</w:t>
      </w:r>
    </w:p>
    <w:p w14:paraId="64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Принятие Федерального закона от 27 июня 2018 г. № 167-ФЗ «О внесении изменений в отдельные законодательные акты Российской Федерации в части противодействия хищению денежных средств» и запуск автоматизированных систем Банка России «ФинЦЕРТ» и «ФидАнтифрод» расширили возможности кредитных организаций по выявлению и блокированию транзакций, имеющих признаки перевода денежных средств без согласия клиента, и возмещению ущерба от них.</w:t>
      </w:r>
    </w:p>
    <w:p w14:paraId="65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В интегрированный банк данных федерального уровня (далее ИБД-Ф) Главного информационно-аналитического центра МВД России введен в эксплуатацию модуль «Дистанционное мошенничество». Анализ содержащейся в базе данных информации свидетельствует о возможности установить сведения о причастности уличенного в совершении преступления лица к совершению иных преступлений в сфере ИТТ с использованием им тех же номеров телефонов, банковских карт, адресов используемых сайтов и т.д. Таким образом, при установлении лица, совершившего хотя бы один преступный эпизод с использованием тех же средств, возможно отследить и иные совершенные им преступления в любом регионе страны.</w:t>
      </w:r>
    </w:p>
    <w:p w14:paraId="66000000">
      <w:pPr>
        <w:rPr>
          <w:color w:val="000000"/>
          <w:sz w:val="28"/>
        </w:rPr>
      </w:pPr>
    </w:p>
    <w:p w14:paraId="67000000">
      <w:pPr>
        <w:pStyle w:val="3"/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</w:pPr>
      <w:r>
        <w:rPr>
          <w:color w:val="000000"/>
          <w:sz w:val="28"/>
        </w:rPr>
        <w:t>Прокуратура Майкопского района разъясняет: «</w:t>
      </w: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Какие критерии применяются для признания информации достаточной при принятии решения об осуществлении контроля за расходами?»</w:t>
      </w:r>
    </w:p>
    <w:p w14:paraId="68000000">
      <w:pPr>
        <w:spacing w:before="0" w:after="120"/>
        <w:rPr>
          <w:color w:val="000000"/>
          <w:sz w:val="28"/>
        </w:rPr>
      </w:pPr>
    </w:p>
    <w:p w14:paraId="69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В соответствии с частью 1 статьи 4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 основанием для принятия решения об осуществлении контроля за расходами лица, замещающего (занимающего) одну из должностей, указанных в пункте 1 части 1 статьи 2 данного Федерального закона, а также за расходами его супруги (супруга) и несовершеннолетних детей является достаточная информация о том, что данным лицом, его супругой (супругом) и (или) несовершеннолетними детьми в течение отчетного периода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общую сумму, превышающую общий доход данного лица и его супруги (супруга) за три последних года, предшествующих отчетному периоду.</w:t>
      </w:r>
    </w:p>
    <w:p w14:paraId="6A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При этом, такая информация в письменной форме может быть представлена в установленном порядке органами, организациями и должностными лицами, перечисленными в части 1 статьи 4 Федерального закона от 03.12.2012 № 230-ФЗ.</w:t>
      </w:r>
    </w:p>
    <w:p w14:paraId="6B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В случае получения таких данных из внешних источников, на наш взгляд, такая информация должна содержать, как минимум, сведения, позволяющие идентифицировать должностное лицо, в отношении которого она направлена и приобретенное им имущество.</w:t>
      </w:r>
    </w:p>
    <w:p w14:paraId="6C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Принятию решения о проведении контроля за расходами должен предшествовать анализ кадровым подразделением представленных служащим справок о доходах, расходах за 3 года, а также приложенных к ним копий документов, являющихся законным основанием для возникновения права на вышеуказанное имущество.</w:t>
      </w:r>
    </w:p>
    <w:p w14:paraId="6D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При этом, наличие достаточности должно определяться в каждом случае индивидуально к сложившейся ситуации.</w:t>
      </w:r>
    </w:p>
    <w:p w14:paraId="6E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Так, само по себе заполнение раздела 2 справки о доходах, расходах не дает основание для принятия такого решения, поскольку этот раздел может быть заполнен ошибочно, либо служащим в иных разделах такой справки (раздел 1 – о доходах, раздел 6 – об обязательствах имущественного характера) могут быть отражены сведения, объясняющие соответствие расходов доходам.</w:t>
      </w:r>
    </w:p>
    <w:p w14:paraId="6F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В частности, например, кредитные обязательства в раздел 1 справки не включаются, но их следует учитывать при определении такого соответствия.</w:t>
      </w:r>
    </w:p>
    <w:p w14:paraId="70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С другой стороны, незаполнение раздела 2 при одновременном указании приобретенного имущества и источников средств в иных разделах само по себе также не нельзя рассматривать как достаточность для принятия решения о контроле за расходами.</w:t>
      </w:r>
    </w:p>
    <w:p w14:paraId="71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Ключевым параметром достаточности, на наш взгляд, является выявление несоответствия указанных в справках за соответствующие периоды сведений о полученных доходах, под которыми в данном случае следует понимать любые средства, приобретенные законным путем.</w:t>
      </w:r>
    </w:p>
    <w:p w14:paraId="72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Также следует иметь ввиду, что главной целью контроля за расходами является проверка достоверности и полноты представленных сведений (пункт 2 части 4 статьи 4 Федерального закона от 03.12.2012 № 230-ФЗ). Поэтому имеющаяся информация о сокрытии приобретенных объектов имущества, об очевидной занижении стоимости такого имущества либо о завышении (фиктивном получении) сумм доходов также указывает на несоответствие доходов расходам и может служить основанием для осуществления контроля за расходами.</w:t>
      </w:r>
    </w:p>
    <w:p w14:paraId="73000000">
      <w:pPr>
        <w:widowControl/>
        <w:spacing w:before="0" w:after="0" w:line="240" w:lineRule="auto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При таких обстоятельствах в ходе контроля за расходами следует максимально критично оценивать достоверность сведений об источнике получения средств, направленных в последующем на приобретение имущества.</w:t>
      </w:r>
    </w:p>
    <w:p w14:paraId="74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75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Прокуратура Майкопского района разъясняет: «</w:t>
      </w:r>
      <w:r>
        <w:rPr>
          <w:rFonts w:ascii="Times New Roman" w:hAnsi="Times New Roman"/>
          <w:b/>
          <w:i w:val="0"/>
          <w:caps w:val="0"/>
          <w:smallCaps w:val="0"/>
          <w:color w:val="000000"/>
          <w:sz w:val="28"/>
        </w:rPr>
        <w:t>Предупреждение и профилактика преступлений в сфере информационно-телекоммуникационных технологий»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76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color w:val="000000"/>
          <w:sz w:val="28"/>
        </w:rPr>
      </w:pPr>
    </w:p>
    <w:p w14:paraId="77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Развитие и использование информационно-телекоммуникационных технологий сопровождаются ростом числа преступлений - «бесконтактных мошенничеств», совершенных дистанционно с использованием телефона или сети Интернет.</w:t>
      </w:r>
    </w:p>
    <w:p w14:paraId="78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Одной из самых распространенных мошеннических схем является «звонок из службы безопасности банка» и совершение хищения денежных средств под предлогом предотвращения их «списания» с банковского счета гражданина третьими лицами либо активации какой-либо бонусной программы.</w:t>
      </w:r>
    </w:p>
    <w:p w14:paraId="79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Наряду с этим, получил распространение такой вид хищений, как «звонок от лица сотрудников правоохранительных органов». Преступники звонят гражданам, обращаются к ним по фамилии, имени, отчеству, сообщают, что в отношении них либо их близких родственников возбуждено уголовное дело или проводится проверка, в связи с чем возникла необходимость получить данные для аутентификации в системах дистанционного банковского обслуживания, сведения о совершенных по карте операциях или любые другие сведения.</w:t>
      </w:r>
    </w:p>
    <w:p w14:paraId="7A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В подобных ситуациях злоумышленники получают персональные данные гражданина, иную конфиденциальную информацию, после чего осуществляют переводы, совершают покупки с его счета в банке. Также имеются случаи, когда потерпевшие самостоятельно перечисляют на счета преступников свои деньги для прекращения уголовного преследования или процессуальной проверки.</w:t>
      </w:r>
    </w:p>
    <w:p w14:paraId="7B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Чтобы не попасть на уловки мошенников, необходимо всегда помнить, что работники банков и правоохранительных органов не выясняют по телефону вопросы о денежных средствах на счетах граждан либо об их банковских картах.</w:t>
      </w:r>
    </w:p>
    <w:p w14:paraId="7C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Когда вам звонят и под любым предлогом заводят разговор о финансах, знайте, что это мошенники. При поступлении таких звонков немедленно прерывайте соединение и не ведите разговор со звонящим.</w:t>
      </w:r>
    </w:p>
    <w:p w14:paraId="7D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Также по просьбе лиц, позвонивших вам и сообщивших о совершении сомнительных операций, никогда не переводите имеющиеся у вас денежные средства на указанные ими счета, тем более на счета в других банках.</w:t>
      </w:r>
    </w:p>
    <w:p w14:paraId="7E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Распространены случаи хищений денежных средств путем оформления онлайн-кредитов при установке гражданами программ удаленного доступа к своим электронным устройствам и передаче прав управления ими третьим лицам.</w:t>
      </w:r>
    </w:p>
    <w:p w14:paraId="7F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Мошенники, используя психологические и социальные приёмы и методы «атаки на человека», убеждают граждан установить компьютерные программы TeamViewer и QuickSupport либо их аналоги на свои электронные устройства, после чего получают контроль над этими устройствами и совершают хищения, оформляя онлайн-кредиты.</w:t>
      </w:r>
    </w:p>
    <w:p w14:paraId="80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В преступных целях также используются различные интернет-сервисы для размещения объявлений (Avito, Юла, Drom, BlaBlaCar и другие). Путем введения граждан в заблуждение мошенники становятся владельцами идентификационных данных банковской карты или получают доступ к их личным кабинетам в мобильных банковских приложениях. Указанные действия осуществляются под предлогом перевода средств в счет оплаты товара либо осуществления предоплаты за товар, а также каких-либо услуг по фиктивной доставке товара.</w:t>
      </w:r>
    </w:p>
    <w:p w14:paraId="81000000">
      <w:pPr>
        <w:widowControl/>
        <w:spacing w:before="0" w:after="0"/>
        <w:ind w:left="0" w:right="0" w:firstLine="85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</w:rPr>
        <w:t>Поэтому, ни при каких обстоятельствах не следует передавать свои технические устройства незнакомым и малознакомым лицам, а при использовании Интернет-ресурсов не переходить по ссылкам на сомнительные сайты.</w:t>
      </w:r>
    </w:p>
    <w:p w14:paraId="82000000">
      <w:pPr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z w:val="28"/>
          <w:highlight w:val="white"/>
        </w:rPr>
        <w:t>Не сообщайте указанным лицам свои персональные данные, а также информацию о банковских картах и счетах (номера, коды доступа, пароли и т.д.), не берите по инициативе третьих лиц кредиты на своё имя и не переводите свои денежные средства либо кредитные на счета звонящих вам мошенников, представляющихся сотрудниками правоохранительных органов (прокуратуры, полиции и т.д.), социальных и иных служб, кредитных организаций. Будьте бдительны при общении по телефону и в сети Интернет.</w:t>
      </w:r>
    </w:p>
    <w:sectPr>
      <w:pgSz w:w="11906" w:h="16838"/>
      <w:pgMar w:top="1134" w:right="567" w:bottom="1134" w:left="1418" w:header="567" w:footer="709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9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05658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0" w:semiHidden="0" w:name="Table Grid"/>
    <w:lsdException w:uiPriority="99" w:name="Table Theme"/>
    <w:lsdException w:unhideWhenUsed="0" w:uiPriority="0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/>
      <w:color w:val="000000"/>
      <w:spacing w:val="0"/>
      <w:sz w:val="28"/>
    </w:rPr>
  </w:style>
  <w:style w:type="paragraph" w:styleId="2">
    <w:name w:val="heading 1"/>
    <w:basedOn w:val="1"/>
    <w:next w:val="1"/>
    <w:qFormat/>
    <w:uiPriority w:val="9"/>
    <w:pPr>
      <w:keepNext/>
      <w:widowControl w:val="0"/>
      <w:spacing w:line="302" w:lineRule="exact"/>
      <w:ind w:left="1094" w:firstLine="0"/>
      <w:outlineLvl w:val="0"/>
    </w:pPr>
    <w:rPr>
      <w:b/>
      <w:color w:val="000000"/>
      <w:spacing w:val="-4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uiPriority w:val="0"/>
    <w:rPr>
      <w:sz w:val="16"/>
    </w:rPr>
  </w:style>
  <w:style w:type="character" w:styleId="10">
    <w:name w:val="Hyperlink"/>
    <w:uiPriority w:val="0"/>
    <w:rPr>
      <w:color w:val="0000FF"/>
      <w:u w:val="single"/>
    </w:rPr>
  </w:style>
  <w:style w:type="paragraph" w:styleId="11">
    <w:name w:val="Balloon Text"/>
    <w:basedOn w:val="1"/>
    <w:uiPriority w:val="0"/>
    <w:rPr>
      <w:rFonts w:ascii="Segoe UI" w:hAnsi="Segoe UI"/>
      <w:sz w:val="18"/>
    </w:rPr>
  </w:style>
  <w:style w:type="paragraph" w:styleId="12">
    <w:name w:val="annotation text"/>
    <w:basedOn w:val="1"/>
    <w:qFormat/>
    <w:uiPriority w:val="0"/>
    <w:rPr>
      <w:sz w:val="20"/>
    </w:rPr>
  </w:style>
  <w:style w:type="paragraph" w:styleId="13">
    <w:name w:val="annotation subject"/>
    <w:basedOn w:val="12"/>
    <w:next w:val="12"/>
    <w:qFormat/>
    <w:uiPriority w:val="0"/>
    <w:rPr>
      <w:b/>
    </w:rPr>
  </w:style>
  <w:style w:type="paragraph" w:styleId="14">
    <w:name w:val="toc 8"/>
    <w:next w:val="1"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5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16">
    <w:name w:val="toc 9"/>
    <w:next w:val="1"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7"/>
    <w:next w:val="1"/>
    <w:qFormat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Body Text"/>
    <w:basedOn w:val="1"/>
    <w:uiPriority w:val="0"/>
    <w:pPr>
      <w:jc w:val="center"/>
    </w:pPr>
    <w:rPr>
      <w:b/>
      <w:caps/>
    </w:rPr>
  </w:style>
  <w:style w:type="paragraph" w:styleId="19">
    <w:name w:val="toc 1"/>
    <w:next w:val="1"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20">
    <w:name w:val="toc 6"/>
    <w:next w:val="1"/>
    <w:qFormat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1">
    <w:name w:val="toc 3"/>
    <w:next w:val="1"/>
    <w:qFormat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2">
    <w:name w:val="toc 2"/>
    <w:next w:val="1"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3">
    <w:name w:val="toc 4"/>
    <w:next w:val="1"/>
    <w:qFormat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4">
    <w:name w:val="toc 5"/>
    <w:next w:val="1"/>
    <w:qFormat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5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6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27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table" w:styleId="28">
    <w:name w:val="Table Grid"/>
    <w:basedOn w:val="8"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9">
    <w:name w:val="Unresolved Mention"/>
    <w:link w:val="30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/>
      <w:color w:val="605E5C"/>
      <w:spacing w:val="0"/>
      <w:sz w:val="22"/>
      <w:shd w:val="clear" w:fill="E1DFDD"/>
    </w:rPr>
  </w:style>
  <w:style w:type="character" w:customStyle="1" w:styleId="30">
    <w:name w:val="Unresolved Mention1"/>
    <w:basedOn w:val="7"/>
    <w:link w:val="29"/>
    <w:qFormat/>
    <w:uiPriority w:val="0"/>
    <w:rPr>
      <w:color w:val="605E5C"/>
      <w:shd w:val="clear" w:fill="E1DFDD"/>
    </w:rPr>
  </w:style>
  <w:style w:type="paragraph" w:customStyle="1" w:styleId="31">
    <w:name w:val="Endnote"/>
    <w:link w:val="32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32">
    <w:name w:val="Endnote1"/>
    <w:link w:val="31"/>
    <w:uiPriority w:val="0"/>
    <w:rPr>
      <w:rFonts w:ascii="XO Thames" w:hAnsi="XO Thames"/>
      <w:sz w:val="22"/>
    </w:rPr>
  </w:style>
  <w:style w:type="paragraph" w:customStyle="1" w:styleId="33">
    <w:name w:val="Основной текст (8)"/>
    <w:link w:val="34"/>
    <w:uiPriority w:val="0"/>
    <w:pPr>
      <w:spacing w:before="0" w:after="160" w:line="264" w:lineRule="auto"/>
      <w:ind w:left="0" w:right="0" w:firstLine="0"/>
      <w:jc w:val="left"/>
    </w:pPr>
    <w:rPr>
      <w:rFonts w:ascii="Arial Narrow" w:hAnsi="Arial Narrow"/>
      <w:color w:val="000000"/>
      <w:spacing w:val="0"/>
      <w:sz w:val="16"/>
      <w:u w:val="single"/>
    </w:rPr>
  </w:style>
  <w:style w:type="character" w:customStyle="1" w:styleId="34">
    <w:name w:val="Основной текст (8)1"/>
    <w:basedOn w:val="7"/>
    <w:link w:val="33"/>
    <w:uiPriority w:val="0"/>
    <w:rPr>
      <w:rFonts w:ascii="Arial Narrow" w:hAnsi="Arial Narrow"/>
      <w:color w:val="000000"/>
      <w:spacing w:val="0"/>
      <w:sz w:val="16"/>
      <w:u w:val="single"/>
    </w:rPr>
  </w:style>
  <w:style w:type="paragraph" w:customStyle="1" w:styleId="35">
    <w:name w:val="Footnote"/>
    <w:link w:val="36"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36">
    <w:name w:val="Footnote1"/>
    <w:link w:val="35"/>
    <w:uiPriority w:val="0"/>
    <w:rPr>
      <w:rFonts w:ascii="XO Thames" w:hAnsi="XO Thames"/>
      <w:sz w:val="22"/>
    </w:rPr>
  </w:style>
  <w:style w:type="paragraph" w:styleId="37">
    <w:name w:val="No Spacing"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/>
      <w:color w:val="000000"/>
      <w:spacing w:val="0"/>
      <w:sz w:val="24"/>
    </w:rPr>
  </w:style>
  <w:style w:type="paragraph" w:customStyle="1" w:styleId="38">
    <w:name w:val="Header and Footer"/>
    <w:link w:val="39"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8"/>
    </w:rPr>
  </w:style>
  <w:style w:type="character" w:customStyle="1" w:styleId="39">
    <w:name w:val="Header and Footer1"/>
    <w:link w:val="38"/>
    <w:uiPriority w:val="0"/>
    <w:rPr>
      <w:rFonts w:ascii="XO Thames" w:hAnsi="XO Thames"/>
      <w:sz w:val="28"/>
    </w:rPr>
  </w:style>
  <w:style w:type="paragraph" w:styleId="40">
    <w:name w:val="List Paragraph"/>
    <w:basedOn w:val="1"/>
    <w:uiPriority w:val="0"/>
    <w:pPr>
      <w:ind w:left="720" w:firstLine="0"/>
      <w:contextualSpacing/>
    </w:pPr>
  </w:style>
  <w:style w:type="paragraph" w:customStyle="1" w:styleId="41">
    <w:name w:val="Style5"/>
    <w:basedOn w:val="1"/>
    <w:link w:val="42"/>
    <w:uiPriority w:val="0"/>
    <w:pPr>
      <w:widowControl w:val="0"/>
      <w:spacing w:line="317" w:lineRule="exact"/>
      <w:ind w:left="346" w:hanging="346"/>
    </w:pPr>
    <w:rPr>
      <w:sz w:val="24"/>
    </w:rPr>
  </w:style>
  <w:style w:type="character" w:customStyle="1" w:styleId="42">
    <w:name w:val="Style51"/>
    <w:link w:val="4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TotalTime>1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2025-12-02T12:21:26Z</dcterms:created>
  <dc:creator>twiii</dc:creator>
  <cp:lastModifiedBy>twiii</cp:lastModifiedBy>
  <dcterms:modified xsi:type="dcterms:W3CDTF">2025-12-02T12:22:55Z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37633D073E4E49F3A8BC8CC2DC747DDB_13</vt:lpwstr>
  </property>
</Properties>
</file>